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pageBreakBefore w:val="1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Scheda di sintesi sulla rilevazione degli OIV o organismi con funzioni analoghe</w:t>
      </w:r>
    </w:p>
    <w:p>
      <w:pPr>
        <w:pStyle w:val="List Paragraph"/>
        <w:ind w:left="0" w:firstLine="0"/>
        <w:rPr>
          <w:rFonts w:ascii="Titillium" w:cs="Titillium" w:hAnsi="Titillium" w:eastAsia="Titillium"/>
          <w:sz w:val="20"/>
          <w:szCs w:val="20"/>
        </w:rPr>
      </w:pPr>
    </w:p>
    <w:p>
      <w:pPr>
        <w:pStyle w:val="List Paragraph"/>
        <w:spacing w:line="360" w:lineRule="auto"/>
        <w:ind w:left="0" w:firstLine="0"/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</w:rPr>
      </w:pP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>Data di svolgimento della rilevazione</w:t>
      </w:r>
    </w:p>
    <w:p>
      <w:pPr>
        <w:pStyle w:val="List Paragraph"/>
        <w:spacing w:after="0" w:line="276" w:lineRule="auto"/>
        <w:ind w:left="0" w:firstLine="0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Indicare la data di svolgimento della rilevazione nel formato gg/mm/aaaa.</w:t>
      </w:r>
    </w:p>
    <w:p>
      <w:pPr>
        <w:pStyle w:val="List Paragraph"/>
        <w:spacing w:line="276" w:lineRule="auto"/>
        <w:ind w:left="0" w:firstLine="0"/>
        <w:rPr>
          <w:rFonts w:ascii="Titillium" w:cs="Titillium" w:hAnsi="Titillium" w:eastAsia="Titillium"/>
          <w:sz w:val="20"/>
          <w:szCs w:val="20"/>
          <w:u w:val="single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 xml:space="preserve">Indicare la </w:t>
      </w:r>
      <w:r>
        <w:rPr>
          <w:rFonts w:ascii="Titillium" w:cs="Titillium" w:hAnsi="Titillium" w:eastAsia="Titillium"/>
          <w:sz w:val="20"/>
          <w:szCs w:val="20"/>
          <w:u w:val="single"/>
          <w:rtl w:val="0"/>
          <w:lang w:val="it-IT"/>
        </w:rPr>
        <w:t>data di inizio e di fine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 xml:space="preserve"> della rilevazione.</w:t>
      </w:r>
    </w:p>
    <w:p>
      <w:pPr>
        <w:pStyle w:val="List Paragraph"/>
        <w:spacing w:line="276" w:lineRule="auto"/>
        <w:ind w:left="0" w:firstLine="0"/>
        <w:rPr>
          <w:rFonts w:ascii="Titillium" w:cs="Titillium" w:hAnsi="Titillium" w:eastAsia="Titillium"/>
          <w:sz w:val="20"/>
          <w:szCs w:val="20"/>
        </w:rPr>
      </w:pPr>
    </w:p>
    <w:p>
      <w:pPr>
        <w:pStyle w:val="List Paragraph"/>
        <w:spacing w:after="0"/>
        <w:ind w:left="0" w:firstLine="0"/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</w:rPr>
      </w:pP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>Estensione della rilevazione (nel solo caso di amministrazioni/enti con uffici periferici)</w:t>
      </w:r>
    </w:p>
    <w:p>
      <w:pPr>
        <w:pStyle w:val="List Paragraph"/>
        <w:spacing w:after="0"/>
        <w:ind w:left="0" w:firstLine="0"/>
        <w:rPr>
          <w:rFonts w:ascii="Titillium" w:cs="Titillium" w:hAnsi="Titillium" w:eastAsia="Titillium"/>
          <w:b w:val="1"/>
          <w:bCs w:val="1"/>
          <w:sz w:val="20"/>
          <w:szCs w:val="20"/>
          <w:u w:val="single"/>
        </w:rPr>
      </w:pPr>
    </w:p>
    <w:p>
      <w:pPr>
        <w:pStyle w:val="List Paragraph"/>
        <w:spacing w:after="0" w:line="360" w:lineRule="auto"/>
        <w:ind w:left="0" w:firstLine="0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Indicare il numero complessivo degli uffici periferici esistenti e, se diverse, le tipologie di uffici periferici.</w:t>
      </w:r>
    </w:p>
    <w:p>
      <w:pPr>
        <w:pStyle w:val="List Paragraph"/>
        <w:spacing w:after="0" w:line="360" w:lineRule="auto"/>
        <w:ind w:left="0" w:firstLine="0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Per la formazione del campione di uffici periferici su cui effettuare la rilevazione, indicare il criterio di selezione del campione.</w:t>
      </w:r>
    </w:p>
    <w:p>
      <w:pPr>
        <w:pStyle w:val="Normal.0"/>
        <w:spacing w:after="0" w:line="360" w:lineRule="auto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Riportare l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’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elenco degli uffici periferici selezionati.</w:t>
      </w:r>
    </w:p>
    <w:p>
      <w:pPr>
        <w:pStyle w:val="List Paragraph"/>
        <w:spacing w:after="0" w:line="276" w:lineRule="auto"/>
        <w:ind w:left="720" w:firstLine="0"/>
        <w:rPr>
          <w:rFonts w:ascii="Titillium" w:cs="Titillium" w:hAnsi="Titillium" w:eastAsia="Titillium"/>
          <w:sz w:val="20"/>
          <w:szCs w:val="20"/>
        </w:rPr>
      </w:pPr>
    </w:p>
    <w:p>
      <w:pPr>
        <w:pStyle w:val="List Paragraph"/>
        <w:spacing w:line="360" w:lineRule="auto"/>
        <w:ind w:left="0" w:firstLine="0"/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</w:rPr>
      </w:pP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>Procedure e modalit</w:t>
      </w: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seguite per la rilevazione </w:t>
      </w:r>
    </w:p>
    <w:p>
      <w:pPr>
        <w:pStyle w:val="List Paragraph"/>
        <w:spacing w:after="0" w:line="360" w:lineRule="auto"/>
        <w:ind w:left="0" w:firstLine="0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Indicare il procedimento e le modalit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 xml:space="preserve">à 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seguite per condurre la rilevazione.</w:t>
      </w:r>
    </w:p>
    <w:p>
      <w:pPr>
        <w:pStyle w:val="Default"/>
        <w:spacing w:line="360" w:lineRule="auto"/>
        <w:rPr>
          <w:rFonts w:ascii="Titillium" w:cs="Titillium" w:hAnsi="Titillium" w:eastAsia="Titillium"/>
          <w:sz w:val="20"/>
          <w:szCs w:val="20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A titolo esemplificativo e non esaustivo, si indicano alcune modalit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à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, non alternative fra loro, che potrebbero essere seguite: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tillium" w:cs="Titillium" w:hAnsi="Titillium" w:eastAsia="Titillium"/>
          <w:sz w:val="20"/>
          <w:szCs w:val="20"/>
          <w:rtl w:val="0"/>
          <w:lang w:val="it-IT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verifica dell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’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attivit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 xml:space="preserve">à 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svolta dal Responsabile della prevenzione della corruzione e della trasparenza per riscontrare l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’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adempimento degli obblighi di pubblicazione;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tillium" w:cs="Titillium" w:hAnsi="Titillium" w:eastAsia="Titillium"/>
          <w:sz w:val="20"/>
          <w:szCs w:val="20"/>
          <w:rtl w:val="0"/>
          <w:lang w:val="it-IT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esame della documentazione e delle banche dati relative ai dati oggetto di attestazione;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tillium" w:cs="Titillium" w:hAnsi="Titillium" w:eastAsia="Titillium"/>
          <w:sz w:val="20"/>
          <w:szCs w:val="20"/>
          <w:rtl w:val="0"/>
          <w:lang w:val="it-IT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colloqui con i responsabili della trasmissione dei dati;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tillium" w:cs="Titillium" w:hAnsi="Titillium" w:eastAsia="Titillium"/>
          <w:sz w:val="20"/>
          <w:szCs w:val="20"/>
          <w:rtl w:val="0"/>
          <w:lang w:val="it-IT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colloqui con i responsabili della pubblicazione dei dati;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tillium" w:cs="Titillium" w:hAnsi="Titillium" w:eastAsia="Titillium"/>
          <w:sz w:val="20"/>
          <w:szCs w:val="20"/>
          <w:rtl w:val="0"/>
          <w:lang w:val="it-IT"/>
        </w:rPr>
      </w:pP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verifica diretta sul sito istituzionale, anche attraverso l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’</w:t>
      </w:r>
      <w:r>
        <w:rPr>
          <w:rFonts w:ascii="Titillium" w:cs="Titillium" w:hAnsi="Titillium" w:eastAsia="Titillium"/>
          <w:sz w:val="20"/>
          <w:szCs w:val="20"/>
          <w:rtl w:val="0"/>
          <w:lang w:val="it-IT"/>
        </w:rPr>
        <w:t>utilizzo di supporti informatici.</w:t>
      </w:r>
    </w:p>
    <w:p>
      <w:pPr>
        <w:pStyle w:val="Normal.0"/>
        <w:spacing w:line="360" w:lineRule="auto"/>
        <w:rPr>
          <w:rFonts w:ascii="Titillium" w:cs="Titillium" w:hAnsi="Titillium" w:eastAsia="Titillium"/>
          <w:sz w:val="20"/>
          <w:szCs w:val="20"/>
          <w:u w:val="single"/>
        </w:rPr>
      </w:pPr>
    </w:p>
    <w:p>
      <w:pPr>
        <w:pStyle w:val="Normal.0"/>
        <w:spacing w:line="360" w:lineRule="auto"/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</w:rPr>
      </w:pP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>Aspetti critici riscontrati nel corso della rilevazione</w:t>
      </w:r>
    </w:p>
    <w:p>
      <w:pPr>
        <w:pStyle w:val="Normal.0"/>
        <w:spacing w:line="360" w:lineRule="auto"/>
        <w:rPr>
          <w:rFonts w:ascii="Titillium" w:cs="Titillium" w:hAnsi="Titillium" w:eastAsia="Titillium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rPr>
          <w:rFonts w:ascii="Titillium" w:cs="Titillium" w:hAnsi="Titillium" w:eastAsia="Titillium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</w:pPr>
      <w:r>
        <w:rPr>
          <w:rFonts w:ascii="Titillium" w:cs="Titillium" w:hAnsi="Titillium" w:eastAsia="Titillium"/>
          <w:b w:val="1"/>
          <w:bCs w:val="1"/>
          <w:i w:val="1"/>
          <w:iCs w:val="1"/>
          <w:sz w:val="20"/>
          <w:szCs w:val="20"/>
          <w:rtl w:val="0"/>
          <w:lang w:val="it-IT"/>
        </w:rPr>
        <w:t>Eventuale documentazione da allegare</w:t>
      </w:r>
    </w:p>
    <w:sectPr>
      <w:headerReference w:type="default" r:id="rId4"/>
      <w:footerReference w:type="default" r:id="rId5"/>
      <w:pgSz w:w="11900" w:h="16840" w:orient="portrait"/>
      <w:pgMar w:top="1417" w:right="1134" w:bottom="708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Titill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  <w:rPr>
        <w:rFonts w:ascii="Garamond" w:hAnsi="Garamond"/>
        <w:b w:val="1"/>
        <w:bCs w:val="1"/>
      </w:rPr>
    </w:pPr>
    <w:r>
      <w:rPr>
        <w:rFonts w:ascii="Garamond" w:cs="Garamond" w:hAnsi="Garamond" w:eastAsia="Garamond"/>
        <w:b w:val="1"/>
        <w:bCs w:val="1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448310</wp:posOffset>
          </wp:positionH>
          <wp:positionV relativeFrom="page">
            <wp:posOffset>902970</wp:posOffset>
          </wp:positionV>
          <wp:extent cx="2879725" cy="341630"/>
          <wp:effectExtent l="0" t="0" r="0" b="0"/>
          <wp:wrapNone/>
          <wp:docPr id="1073741825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5" descr="Immagin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341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612"/>
        <w:tab w:val="clear" w:pos="9638"/>
      </w:tabs>
      <w:jc w:val="right"/>
      <w:rPr>
        <w:rFonts w:ascii="Garamond" w:hAnsi="Garamond"/>
        <w:b w:val="1"/>
        <w:bCs w:val="1"/>
      </w:rPr>
    </w:pPr>
  </w:p>
  <w:p>
    <w:pPr>
      <w:pStyle w:val="header"/>
      <w:tabs>
        <w:tab w:val="left" w:pos="3878"/>
        <w:tab w:val="right" w:pos="9612"/>
        <w:tab w:val="clear" w:pos="9638"/>
      </w:tabs>
      <w:rPr>
        <w:rFonts w:ascii="Garamond" w:hAnsi="Garamond"/>
        <w:b w:val="1"/>
        <w:bCs w:val="1"/>
      </w:rPr>
    </w:pPr>
    <w:r>
      <w:rPr>
        <w:rFonts w:ascii="Garamond" w:hAnsi="Garamond"/>
        <w:b w:val="1"/>
        <w:bCs w:val="1"/>
      </w:rPr>
      <w:tab/>
      <w:tab/>
    </w:r>
  </w:p>
  <w:p>
    <w:pPr>
      <w:pStyle w:val="header"/>
      <w:tabs>
        <w:tab w:val="right" w:pos="9612"/>
        <w:tab w:val="clear" w:pos="9638"/>
      </w:tabs>
      <w:jc w:val="right"/>
      <w:rPr>
        <w:rFonts w:ascii="Titillium" w:cs="Titillium" w:hAnsi="Titillium" w:eastAsia="Titillium"/>
        <w:b w:val="1"/>
        <w:bCs w:val="1"/>
        <w:sz w:val="20"/>
        <w:szCs w:val="20"/>
      </w:rPr>
    </w:pPr>
    <w:r>
      <w:rPr>
        <w:rFonts w:ascii="Titillium" w:cs="Titillium" w:hAnsi="Titillium" w:eastAsia="Titillium"/>
        <w:b w:val="1"/>
        <w:bCs w:val="1"/>
        <w:sz w:val="20"/>
        <w:szCs w:val="20"/>
        <w:rtl w:val="0"/>
        <w:lang w:val="it-IT"/>
      </w:rPr>
      <w:t>Allegato 3 alla delibera ANAC n. 201/2022</w:t>
    </w:r>
  </w:p>
  <w:p>
    <w:pPr>
      <w:pStyle w:val="header"/>
      <w:tabs>
        <w:tab w:val="right" w:pos="9612"/>
        <w:tab w:val="clear" w:pos="9638"/>
      </w:tabs>
      <w:jc w:val="right"/>
    </w:pPr>
    <w:r>
      <w:rPr>
        <w:rFonts w:ascii="Garamond" w:cs="Garamond" w:hAnsi="Garamond" w:eastAsia="Garamond"/>
        <w:b w:val="1"/>
        <w:b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1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240" w:after="240" w:line="100" w:lineRule="atLeast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357" w:right="0" w:hanging="35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